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lang w:val="en-US" w:eastAsia="zh-CN"/>
        </w:rPr>
        <w:t>湘潭大学兴湘学院2022年专升本招生专业介绍</w:t>
      </w:r>
    </w:p>
    <w:p>
      <w:pPr>
        <w:widowControl/>
        <w:spacing w:line="360" w:lineRule="auto"/>
        <w:jc w:val="center"/>
        <w:rPr>
          <w:rFonts w:hint="default" w:asciiTheme="minorEastAsia" w:hAnsiTheme="minorEastAsia" w:cstheme="minorEastAsia"/>
          <w:b/>
          <w:bCs/>
          <w:kern w:val="0"/>
          <w:sz w:val="36"/>
          <w:szCs w:val="36"/>
          <w:lang w:val="en-US" w:eastAsia="zh-CN"/>
        </w:rPr>
      </w:pPr>
    </w:p>
    <w:p>
      <w:pPr>
        <w:widowControl/>
        <w:spacing w:line="360" w:lineRule="auto"/>
        <w:jc w:val="left"/>
        <w:rPr>
          <w:rFonts w:asciiTheme="minorEastAsia" w:hAnsiTheme="minorEastAsia" w:cstheme="minorEastAsia"/>
          <w:b/>
          <w:bCs/>
          <w:kern w:val="0"/>
          <w:sz w:val="30"/>
          <w:szCs w:val="30"/>
        </w:rPr>
      </w:pPr>
      <w:r>
        <w:rPr>
          <w:rFonts w:hint="eastAsia" w:asciiTheme="minorEastAsia" w:hAnsiTheme="minorEastAsia" w:cstheme="minorEastAsia"/>
          <w:b/>
          <w:bCs/>
          <w:kern w:val="0"/>
          <w:sz w:val="30"/>
          <w:szCs w:val="30"/>
          <w:lang w:eastAsia="zh-CN"/>
        </w:rPr>
        <w:t>【</w:t>
      </w:r>
      <w:r>
        <w:rPr>
          <w:rFonts w:hint="eastAsia" w:asciiTheme="minorEastAsia" w:hAnsiTheme="minorEastAsia" w:cstheme="minorEastAsia"/>
          <w:b/>
          <w:bCs/>
          <w:kern w:val="0"/>
          <w:sz w:val="30"/>
          <w:szCs w:val="30"/>
        </w:rPr>
        <w:t>行政管理</w:t>
      </w:r>
      <w:r>
        <w:rPr>
          <w:rFonts w:hint="eastAsia" w:asciiTheme="minorEastAsia" w:hAnsiTheme="minorEastAsia" w:cstheme="minorEastAsia"/>
          <w:b/>
          <w:bCs/>
          <w:kern w:val="0"/>
          <w:sz w:val="30"/>
          <w:szCs w:val="30"/>
          <w:lang w:eastAsia="zh-CN"/>
        </w:rPr>
        <w:t>】（</w:t>
      </w:r>
      <w:r>
        <w:rPr>
          <w:rFonts w:hint="eastAsia" w:ascii="楷体" w:hAnsi="楷体" w:eastAsia="楷体" w:cs="楷体"/>
          <w:b/>
          <w:bCs/>
          <w:kern w:val="0"/>
          <w:sz w:val="30"/>
          <w:szCs w:val="30"/>
          <w:lang w:eastAsia="zh-CN"/>
        </w:rPr>
        <w:t>国家级一流本科专业建设点、国家级特色专业、省级特色专业、省级“十三五”专业综合改革试点、省级重点专业</w:t>
      </w:r>
      <w:r>
        <w:rPr>
          <w:rFonts w:hint="eastAsia" w:asciiTheme="minorEastAsia" w:hAnsiTheme="minorEastAsia" w:cstheme="minorEastAsia"/>
          <w:b/>
          <w:bCs/>
          <w:kern w:val="0"/>
          <w:sz w:val="30"/>
          <w:szCs w:val="30"/>
          <w:lang w:eastAsia="zh-CN"/>
        </w:rPr>
        <w:t>）</w:t>
      </w:r>
      <w:bookmarkStart w:id="3" w:name="_GoBack"/>
      <w:bookmarkEnd w:id="3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asciiTheme="minorEastAsia" w:hAnsi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</w:rPr>
        <w:t>培养目标：本专业培养具有现代公共精神，掌握现代管理系统理论和方法，人文与科学素养兼具、专业与学科知识兼通、领导与执行能力兼备，能在政府管理部门、公共事业单位及企业等从事管理工作的应用型高级专门人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asciiTheme="minorEastAsia" w:hAnsi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</w:rPr>
        <w:t>主要课程：管理学原理、公共管理学、社会学原理、公共经济学、组织行为学、行政法学、公共部门信息资源管理、公共部门人力资源管理、社会调查与统计、行政管理学、行政组织学、公共政策学、领导学、国家公务员制度、西方政治思想史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楷体" w:hAnsi="楷体" w:eastAsia="楷体" w:cs="楷体"/>
          <w:b/>
          <w:bCs/>
          <w:kern w:val="0"/>
          <w:sz w:val="30"/>
          <w:szCs w:val="30"/>
          <w:lang w:eastAsia="zh-CN"/>
        </w:rPr>
      </w:pPr>
      <w:bookmarkStart w:id="0" w:name="_Toc361435292"/>
      <w:r>
        <w:rPr>
          <w:rFonts w:hint="eastAsia" w:asciiTheme="minorEastAsia" w:hAnsiTheme="minorEastAsia" w:cstheme="minorEastAsia"/>
          <w:b/>
          <w:bCs/>
          <w:kern w:val="0"/>
          <w:sz w:val="30"/>
          <w:szCs w:val="30"/>
          <w:lang w:eastAsia="zh-CN"/>
        </w:rPr>
        <w:t>【</w:t>
      </w:r>
      <w:r>
        <w:rPr>
          <w:rFonts w:hint="eastAsia" w:asciiTheme="minorEastAsia" w:hAnsiTheme="minorEastAsia" w:cstheme="minorEastAsia"/>
          <w:b/>
          <w:bCs/>
          <w:kern w:val="0"/>
          <w:sz w:val="30"/>
          <w:szCs w:val="30"/>
        </w:rPr>
        <w:t>制药工程</w:t>
      </w:r>
      <w:r>
        <w:rPr>
          <w:rFonts w:hint="eastAsia" w:asciiTheme="minorEastAsia" w:hAnsiTheme="minorEastAsia" w:cstheme="minorEastAsia"/>
          <w:b/>
          <w:bCs/>
          <w:kern w:val="0"/>
          <w:sz w:val="30"/>
          <w:szCs w:val="30"/>
          <w:lang w:eastAsia="zh-CN"/>
        </w:rPr>
        <w:t>】</w:t>
      </w:r>
      <w:bookmarkEnd w:id="0"/>
      <w:r>
        <w:rPr>
          <w:rFonts w:hint="eastAsia" w:ascii="楷体" w:hAnsi="楷体" w:eastAsia="楷体" w:cs="楷体"/>
          <w:b/>
          <w:bCs/>
          <w:kern w:val="0"/>
          <w:sz w:val="30"/>
          <w:szCs w:val="30"/>
          <w:lang w:eastAsia="zh-CN"/>
        </w:rPr>
        <w:t>（国家级一流本科专业建设点、教育部工程教育专业认证）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asciiTheme="minorEastAsia" w:hAnsiTheme="minorEastAsia" w:cstheme="minorEastAsia"/>
          <w:kern w:val="0"/>
          <w:sz w:val="28"/>
          <w:szCs w:val="28"/>
        </w:rPr>
      </w:pPr>
      <w:bookmarkStart w:id="1" w:name="OLE_LINK43"/>
      <w:r>
        <w:rPr>
          <w:rFonts w:hint="eastAsia" w:asciiTheme="minorEastAsia" w:hAnsiTheme="minorEastAsia" w:cstheme="minorEastAsia"/>
          <w:kern w:val="0"/>
          <w:sz w:val="28"/>
          <w:szCs w:val="28"/>
        </w:rPr>
        <w:t>培养目标：</w:t>
      </w:r>
      <w:bookmarkEnd w:id="1"/>
      <w:bookmarkStart w:id="2" w:name="OLE_LINK45"/>
      <w:r>
        <w:rPr>
          <w:rFonts w:hint="eastAsia" w:asciiTheme="minorEastAsia" w:hAnsiTheme="minorEastAsia" w:cstheme="minorEastAsia"/>
          <w:kern w:val="0"/>
          <w:sz w:val="28"/>
          <w:szCs w:val="28"/>
        </w:rPr>
        <w:t>本专业培养具有制药工程专业的知识和能力，能在制药及相关行业和领域从事医药产品的生产、经营管理、工程技术改造和创新、以及新品研发等方面工作的高级专业人才。同时注重学生的自然科学、社会科学、经济管理知识和人文素养的提高，使毕业生成为符合社会及行业发展需要的应用型高级工程技术人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asciiTheme="minorEastAsia" w:hAnsi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</w:rPr>
        <w:t>主要课程：</w:t>
      </w:r>
      <w:bookmarkEnd w:id="2"/>
      <w:r>
        <w:rPr>
          <w:rFonts w:hint="eastAsia" w:asciiTheme="minorEastAsia" w:hAnsiTheme="minorEastAsia" w:cstheme="minorEastAsia"/>
          <w:kern w:val="0"/>
          <w:sz w:val="28"/>
          <w:szCs w:val="28"/>
        </w:rPr>
        <w:t>有机化学、无机化学、分析化学、物理化学、电子电工学、机械制图、工程制图与CAD、化工原理及实验、微生物学、药物化学、制药工艺学、药物分析、天然药物化学、化工仪表与自动化、药理学、药物合成反应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754E40"/>
    <w:rsid w:val="304E0631"/>
    <w:rsid w:val="4B754E40"/>
    <w:rsid w:val="63334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560</Words>
  <Characters>565</Characters>
  <Lines>0</Lines>
  <Paragraphs>0</Paragraphs>
  <TotalTime>2</TotalTime>
  <ScaleCrop>false</ScaleCrop>
  <LinksUpToDate>false</LinksUpToDate>
  <CharactersWithSpaces>565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2022-03-20T07:26:00Z</dcterms:created>
  <dc:creator>柳劲</dc:creator>
  <cp:lastModifiedBy>柳劲</cp:lastModifiedBy>
  <dcterms:modified xsi:type="dcterms:W3CDTF">2022-03-20T07:31:11Z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16E3FDD1DF7B4EC2A1373F457D638817</vt:lpwstr>
  </property>
</Properties>
</file>